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VerfGHG NRW - (Nordrhein-Westfalen) — (Beitritt zum Verfahren)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Antragsteller oder Antragsgegner können in jeder Lage des Verfahrens andere nach § 43 genannte Antragsberechtigte beitreten, wenn die Entscheidung auch für die Abgrenzung ihrer Zuständigkeiten von Bedeutung ist.</w:t>
      </w:r>
    </w:p>
    <w:p>
      <w:r>
        <w:t xml:space="preserve">(2) Der Verfassungsgerichtshof gibt von der Einleitung des Verfahrens dem Landtag und der Landesregierung Kenntnis.</w:t>
      </w:r>
    </w:p>
    <w:p>
      <w:r>
        <w:rPr>
          <w:color w:val="555555"/>
          <w:sz w:val="17"/>
        </w:rPr>
        <w:t xml:space="preserve">Zitiervorschlag: § 45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https://recht.nulegal.eu/gesetze/VerfGHG%20NRW%20-/45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