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VerfGHG NRW - (Nordrhein-Westfalen) — (Antragstellung, Zulässigkeit)</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ist nur zulässig, wenn der Antragsteller geltend macht, daß er oder das Organ, dem er angehört, durch eine Maßnahme oder Unterlassung des Antragsgegners in seinen ihm durch die Verfassung übertragenen Rechten und Pflichten verletzt oder unmittelbar gefährdet ist.</w:t>
      </w:r>
    </w:p>
    <w:p>
      <w:r>
        <w:t xml:space="preserve">(2) Im Antrag ist die Maßnahme oder Unterlassung, durch die der Antragsgegner gegen die Verfassung verstoßen haben soll, näher darzulegen.</w:t>
      </w:r>
    </w:p>
    <w:p>
      <w:r>
        <w:t xml:space="preserve">(3) Der Antrag muß innerhalb von sechs Monaten, nachdem die beanstandete Maßnahme oder Unterlassung dem Antragsteller bekannt geworden ist, gestellt werden.</w:t>
      </w:r>
    </w:p>
    <w:p>
      <w:r>
        <w:rPr>
          <w:color w:val="555555"/>
          <w:sz w:val="17"/>
        </w:rPr>
        <w:t xml:space="preserve">Zitiervorschlag: § 44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