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VerfGHG NRW - (Nordrhein-Westfalen) — (Wahl)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Präsident, der Vizepräsident, die weiteren Mitglieder des Verfassungsgerichtshofs sowie ihre Stellvertreter werden vom Landtag in geheimer Wahl ohne Aussprache mit Zweidrittelmehrheit auf die Dauer von zehn Jahren gewählt; für jedes Mitglied ist ein bestimmter Vertreter zu wählen. Die Wahl eines amtierenden Mitglieds des Verfassungsgerichtshofs zum Präsidenten oder Vizepräsidenten für die Dauer der dem Mitglied verbleibenden Amtszeit ist zulässig.</w:t>
      </w:r>
    </w:p>
    <w:p>
      <w:r>
        <w:t xml:space="preserve">(2) Die Mitglieder und ihre Vertreter sollen frühestens drei Monate und spätestens einen Monat vor Ablauf der Amtszeit ihrer Vorgänger gewählt werden.</w:t>
      </w:r>
    </w:p>
    <w:p>
      <w:r>
        <w:t xml:space="preserve">(3) Eine anschließende oder spätere Wiederwahl ist ausgeschlossen. Eine frühere Amtszeit als stellvertretendes Mitglied steht der Wahl als ordentliches Mitglied nicht entgegen.</w:t>
      </w:r>
    </w:p>
    <w:p>
      <w:r>
        <w:t xml:space="preserve">(4) Nach Ablauf der zehnjährigen Amtszeit führen die Mitglieder des Verfassungsgerichtshofs ihre Amtsgeschäfte bis zur Ernennung des Nachfolgers fort.</w:t>
      </w:r>
    </w:p>
    <w:p>
      <w:r>
        <w:t xml:space="preserve">(5) Scheidet ein Mitglied vorzeitig aus, so tritt bis zur Ernennung des Nachfolgers dessen Vertreter an seine Stelle. Die Nachwahl soll innerhalb eines Monats erfolgen.</w:t>
      </w:r>
    </w:p>
    <w:p>
      <w:r>
        <w:t xml:space="preserve">(6) Die Amtszeit eines stellvertretenden Mitglieds wird durch das Ausscheiden des von ihm vertretenen Mitglieds nicht berührt. Absatz 5 Satz 2 gilt bei einem vorzeitigen Ausscheiden eines Vertreters entsprechend.</w:t>
      </w:r>
    </w:p>
    <w:p>
      <w:r>
        <w:rPr>
          <w:color w:val="555555"/>
          <w:sz w:val="17"/>
        </w:rPr>
        <w:t xml:space="preserve">Zitiervorschlag: § 4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