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VerfGHG NRW - (Nordrhein-Westfalen) — (Veröffentlichung der Entscheidungen)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zur Sache ergangene Entscheidung ist im Gesetz- und Verordnungsblatt durch den Ministerpräsidenten zu veröffentlichen.</w:t>
      </w:r>
    </w:p>
    <w:p>
      <w:r>
        <w:t xml:space="preserve">Zweites Kapitel</w:t>
      </w:r>
    </w:p>
    <w:p>
      <w:r>
        <w:t xml:space="preserve">- aufgehoben -</w:t>
      </w:r>
    </w:p>
    <w:p>
      <w:r>
        <w:t xml:space="preserve">Drittes Kapitel</w:t>
      </w:r>
    </w:p>
    <w:p>
      <w:r>
        <w:t xml:space="preserve">Entscheidungen über Verfassungsstreitigkeiten</w:t>
      </w:r>
    </w:p>
    <w:p>
      <w:r>
        <w:t xml:space="preserve">gemäß Artikel 75 Nr. 2 der Verfassung</w:t>
      </w:r>
    </w:p>
    <w:p>
      <w:r>
        <w:rPr>
          <w:color w:val="555555"/>
          <w:sz w:val="17"/>
        </w:rPr>
        <w:t xml:space="preserve">Zitiervorschlag: § 36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