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VerfGHG NRW - (Nordrhein-Westfalen) — (Stimmenmehrheit)</w:t>
      </w:r>
    </w:p>
    <w:p>
      <w:r>
        <w:rPr>
          <w:color w:val="555555"/>
          <w:sz w:val="18"/>
        </w:rPr>
        <w:t xml:space="preserve">Verfassungsgerichtshofgesetz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Beschlußfassung im Vorverfahren sowie die Entscheidung, daß die Voraussetzungen des Artikel 32 Abs. 1 der Landesverfassung vorliegen, bedarf einer Mehrheit von mindestens fünf Mitgliedern des Verfassungsgerichtshofs.</w:t>
      </w:r>
    </w:p>
    <w:p>
      <w:r>
        <w:rPr>
          <w:color w:val="555555"/>
          <w:sz w:val="17"/>
        </w:rPr>
        <w:t xml:space="preserve">Zitiervorschlag: § 35 VerfGHG 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https://recht.nulegal.eu/gesetze/VerfGHG%20NRW%20-/35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