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VerfGHG NRW - (Nordrhein-Westfalen) — (Vollstreckung)</w:t>
      </w:r>
    </w:p>
    <w:p>
      <w:r>
        <w:rPr>
          <w:color w:val="555555"/>
          <w:sz w:val="18"/>
        </w:rPr>
        <w:t xml:space="preserve">Verfassungsgerichtshofgesetz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Vollstreckung der Entscheidung des Verfassungsgerichtshofs obliegt der Landesregierung, soweit nicht der Verfassungsgerichtshof in seiner Entscheidung etwas anderes bestimmt.</w:t>
      </w:r>
    </w:p>
    <w:p>
      <w:r>
        <w:rPr>
          <w:color w:val="555555"/>
          <w:sz w:val="17"/>
        </w:rPr>
        <w:t xml:space="preserve">Zitiervorschlag: § 29 VerfGHG NRW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https://recht.nulegal.eu/gesetze/VerfGHG%20NRW%20-/29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