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VerfGHG NRW - (Nordrhein-Westfalen) — (Antragstellung und Vorverfahren)</w:t>
      </w:r>
    </w:p>
    <w:p>
      <w:r>
        <w:rPr>
          <w:color w:val="555555"/>
          <w:sz w:val="18"/>
        </w:rPr>
        <w:t xml:space="preserve">Verfassungsgerichtshofgesetz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Anträge, die das Verfahren einleiten, sind schriftlich beim Verfassungsgerichtshof einzureichen. Sie sind zu begründen; die erforderlichen Beweismittel sind anzugeben.</w:t>
      </w:r>
    </w:p>
    <w:p>
      <w:r>
        <w:t xml:space="preserve">(2) Der Vorsitzende des Verfassungsgerichtshofs stellt den Antrag den übrigen Beteiligten mit der Aufforderung zu, sich binnen einer zu bestimmenden Frist dazu zu äußern.</w:t>
      </w:r>
    </w:p>
    <w:p>
      <w:r>
        <w:rPr>
          <w:color w:val="555555"/>
          <w:sz w:val="17"/>
        </w:rPr>
        <w:t xml:space="preserve">Zitiervorschlag: § 18 VerfGHG NRW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https://recht.nulegal.eu/gesetze/VerfGHG%20NRW%20-/18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VerfGHG NRW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