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VerfGGBbg (Brandenburg) — Vorsitz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Präsident führt den Vorsitz und nimmt außerhalb der Sitzungen die Befugnisse des Verfassungsgerichts wahr. Er wird durch den Vizepräsidenten vertreten.</w:t>
      </w:r>
    </w:p>
    <w:p>
      <w:r>
        <w:t xml:space="preserve">(2) Sind der Präsident und der Vizepräsident verhindert, so nimmt der dienstälteste Berufsrichter die Befugnisse des Präsidenten wahr.</w:t>
      </w:r>
    </w:p>
    <w:p>
      <w:r>
        <w:rPr>
          <w:color w:val="555555"/>
          <w:sz w:val="17"/>
        </w:rPr>
        <w:t xml:space="preserve">Zitiervorschlag: § 7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