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VerfGGBbg (Brandenburg) — Beschwerdeberechtigte</w:t>
      </w:r>
    </w:p>
    <w:p>
      <w:r>
        <w:rPr>
          <w:color w:val="555555"/>
          <w:sz w:val="18"/>
        </w:rPr>
        <w:t xml:space="preserve">Verfassungsgerichtsgesetz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Beschwerde nach Artikel 63 Abs. 2 der Verfassung gegen die Entscheidung des Landtages in Wahlprüfungssachen kann innerhalb einer Frist von zwei Monaten seit der Zustellung der Entscheidung des Landtages beim Verfassungsgericht erhoben werden; die Beschwerde ist innerhalb dieser Frist zu begründen. Beschwerdeberechtigt ist:</w:t>
      </w:r>
    </w:p>
    <w:p>
      <w:r>
        <w:t xml:space="preserve">der Abgeordnete, dessen Mitgliedschaft bestritten ist,</w:t>
      </w:r>
    </w:p>
    <w:p>
      <w:r>
        <w:t xml:space="preserve">ein Wahlberechtigter oder eine Gruppe von Wahlberechtigten, deren Einspruch oder Antrag vom Landtag verworfen worden ist, wenn ihnen hundert Wahlberechtigte beitreten,</w:t>
      </w:r>
    </w:p>
    <w:p>
      <w:r>
        <w:t xml:space="preserve">eine Fraktion oder eine Minderheit des Landtages, die wenigstens ein Zehntel der gesetzlichen Mitgliederzahl umfaßt.</w:t>
      </w:r>
    </w:p>
    <w:p>
      <w:r>
        <w:t xml:space="preserve">(2) Die Wahlberechtigten, die einem Wahlberechtigten als Beschwerdeführer beitreten, müssen diese Erklärung persönlich und handschriftlich unterzeichnen; neben der Unterschrift sind Familienname, Vornamen, Tag der Geburt und Anschrift (Hauptwohnung) des Unterzeichners anzugeben.</w:t>
      </w:r>
    </w:p>
    <w:p>
      <w:r>
        <w:t xml:space="preserve">(3) Das Verfassungsgericht kann von einer mündlichen Verhandlung absehen, wenn von ihr keine weitere Förderung des Verfahrens zu erwarten ist.</w:t>
      </w:r>
    </w:p>
    <w:p>
      <w:r>
        <w:rPr>
          <w:color w:val="555555"/>
          <w:sz w:val="17"/>
        </w:rPr>
        <w:t xml:space="preserve">Zitiervorschlag: § 59 VerfGGBbg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https://recht.nulegal.eu/gesetze/VerfGGBbg/59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