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VerfGGBbg (Brandenburg) — Zurücknahme der Anklage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Anklage kann bis zur Verkündung des Urteils aufgrund eines vom Landtag mit der für die Erhebung der Anklage erforderlichen Mehrheit gefaßten Beschlusses zurückgenommen werden.</w:t>
      </w:r>
    </w:p>
    <w:p>
      <w:r>
        <w:t xml:space="preserve">(2) Die Anklage wird vom Präsidenten des Landtages durch Übersendung einer Ausfertigung des Beschlusses an das Verfassungsgericht zurückgenommen.</w:t>
      </w:r>
    </w:p>
    <w:p>
      <w:r>
        <w:t xml:space="preserve">(3) Die Zurücknahme der Anklage wird unwirksam, wenn ihr der Betroffene binnen eines Monats widerspricht.</w:t>
      </w:r>
    </w:p>
    <w:p>
      <w:r>
        <w:rPr>
          <w:color w:val="555555"/>
          <w:sz w:val="17"/>
        </w:rPr>
        <w:t xml:space="preserve">Zitiervorschlag: § 55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