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VerfGGBbg (Brandenburg) — Zulässigkeit des Antrags</w:t>
      </w:r>
    </w:p>
    <w:p>
      <w:r>
        <w:rPr>
          <w:color w:val="555555"/>
          <w:sz w:val="18"/>
        </w:rPr>
        <w:t xml:space="preserve">Verfassungsgerichtsgesetz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Antrag der Landesregierung oder eines Fünftels der Mitglieder des Landtages ist nur zulässig, wenn einer der Antragsberechtigten Landesrecht</w:t>
      </w:r>
    </w:p>
    <w:p>
      <w:r>
        <w:t xml:space="preserve">wegen seiner förmlichen oder sachlichen Unvereinbarkeit mit der Verfassung für nichtig hält oder</w:t>
      </w:r>
    </w:p>
    <w:p>
      <w:r>
        <w:t xml:space="preserve">für gültig hält, nachdem ein Gericht, eine Verwaltungsbehörde oder ein Organ des Landes das Recht als unvereinbar mit der Verfassung nicht angewendet hat.</w:t>
      </w:r>
    </w:p>
    <w:p>
      <w:r>
        <w:rPr>
          <w:color w:val="555555"/>
          <w:sz w:val="17"/>
        </w:rPr>
        <w:t xml:space="preserve">Zitiervorschlag: § 39 VerfGGBbg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https://recht.nulegal.eu/gesetze/VerfGGBbg/39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