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VerfGGBbg (Brandenburg) — Beitritt zum Verfahren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Antragsteller oder Antragsgegner können in jeder Lage des Verfahrens andere in § 12 Nr. 1 genannte Beteiligte beitreten, wenn die Entscheidung auch für die Abgrenzung ihrer Zuständigkeiten von Bedeutung ist.</w:t>
      </w:r>
    </w:p>
    <w:p>
      <w:r>
        <w:t xml:space="preserve">(2) Das Verfassungsgericht gibt dem Landtag und der Landesregierung von der Einleitung des Verfahrens Kenntnis.</w:t>
      </w:r>
    </w:p>
    <w:p>
      <w:r>
        <w:rPr>
          <w:color w:val="555555"/>
          <w:sz w:val="17"/>
        </w:rPr>
        <w:t xml:space="preserve">Zitiervorschlag: § 37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