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VerfGGBbg (Brandenburg) — Antragstellung, Zulässigkeit</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Antrag ist nur zulässig, wenn der Antragsteller geltend macht, daß er oder das Organ, dem er angehört, durch eine Maßnahme oder Unterlassung des Antragsgegners in seinen ihm durch die Verfassung übertragenen Rechten und Pflichten verletzt oder unmittelbar gefährdet ist.</w:t>
      </w:r>
    </w:p>
    <w:p>
      <w:r>
        <w:t xml:space="preserve">(2) In dem Antrag ist die Bestimmung der Verfassung zu bezeichnen, gegen die durch die beanstandete Maßnahme oder Unterlassung des Antragsgegners verstoßen wird.</w:t>
      </w:r>
    </w:p>
    <w:p>
      <w:r>
        <w:t xml:space="preserve">(3) Der Antrag muß binnen sechs Monaten, nachdem die beanstandete Maßnahme oder Unterlassung dem Antragsteller bekanntgeworden ist, gestellt werden.</w:t>
      </w:r>
    </w:p>
    <w:p>
      <w:r>
        <w:rPr>
          <w:color w:val="555555"/>
          <w:sz w:val="17"/>
        </w:rPr>
        <w:t xml:space="preserve">Zitiervorschlag: § 36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VerfGGBbg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