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VerfGGBbg (Brandenburg) — Wirkungen der Entscheidungen</w:t>
      </w:r>
    </w:p>
    <w:p>
      <w:r>
        <w:rPr>
          <w:color w:val="555555"/>
          <w:sz w:val="18"/>
        </w:rPr>
        <w:t xml:space="preserve">Verfassungsgerichtsgesetz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Entscheidungen des Verfassungsgerichts binden die Verfassungsorgane sowie alle Gerichte und Behörden des Landes.</w:t>
      </w:r>
    </w:p>
    <w:p>
      <w:r>
        <w:t xml:space="preserve">(2) Die Entscheidung hat Gesetzeskraft, soweit das Verfassungsgericht in den Fällen des § 12 Nr. 2, 3, 4 und 5 ein Gesetz für mit der Landesverfassung unvereinbar oder nichtig erklärt. Insoweit ist die Entscheidungsformel durch den Präsidenten des Landtages im Gesetz- und Verordnungsblatt für das Land Brandenburg zu veröffentlichen. Wird ein Gesetz für mit der Landesverfassung unvereinbar erklärt, ist das Gesetz ab dem Tag nach der Verkündung der Entscheidungsformel im Gesetz- und Verordnungsblatt nicht mehr anzuwenden, es sei denn, daß in der Entscheidungsformel Abweichendes bestimmt ist.</w:t>
      </w:r>
    </w:p>
    <w:p>
      <w:r>
        <w:rPr>
          <w:color w:val="555555"/>
          <w:sz w:val="17"/>
        </w:rPr>
        <w:t xml:space="preserve">Zitiervorschlag: § 29 VerfGGBbg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https://recht.nulegal.eu/gesetze/VerfGGBbg/29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