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28 VerfGGBbg (Brandenburg) — Abstimmung</w:t>
      </w:r>
    </w:p>
    <w:p>
      <w:r>
        <w:rPr>
          <w:color w:val="555555"/>
          <w:sz w:val="18"/>
        </w:rPr>
        <w:t xml:space="preserve">Verfassungsgerichtsgesetz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Das Verfassungsgericht entscheidet unter Mitwirkung aller Mitglieder mit Stimmenmehrheit, soweit dieses Gesetz nichts anderes vorschreibt. Bei Stimmengleichheit ist ein Antrag abgelehnt.</w:t>
      </w:r>
    </w:p>
    <w:p>
      <w:r>
        <w:t xml:space="preserve">(2) Die Mitglieder stimmen nach dem Lebensalter ab; der Jüngere stimmt vor dem Älteren. Wenn ein oder mehrere Berichterstatter ernannt sind, stimmen diese zuerst. Zuletzt stimmt der Vorsitzende. Stimmenthaltung ist unzulässig.</w:t>
      </w:r>
    </w:p>
    <w:p>
      <w:r>
        <w:rPr>
          <w:color w:val="555555"/>
          <w:sz w:val="17"/>
        </w:rPr>
        <w:t xml:space="preserve">Zitiervorschlag: § 28 VerfGGBbg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https://recht.nulegal.eu/gesetze/VerfGGBbg/28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