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VerfGGBbg (Brandenburg) — Vernehmung von Zeugen und Sachverständigen</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Vernehmung von Zeugen und Sachverständigen gelten in den Fällen des § 12 Nr. 6 die Vorschriften der Strafprozeßordnung, in den übrigen Fällen die Vorschriften der Zivilprozeßordnung entsprechend.</w:t>
      </w:r>
    </w:p>
    <w:p>
      <w:r>
        <w:t xml:space="preserve">(2) Soweit ein Zeuge oder Sachverständiger nur mit Genehmigung einer vorgesetzten Stelle vernommen werden darf, kann diese Genehmigung nur verweigert werden, wenn es das Wohl des Bundes oder eines Landes erfordert. Der Zeuge oder Sachverständige kann sich nicht auf seine Schweigepflicht berufen, wenn das Verfassungsgericht mit einer Mehrheit von zwei Dritteln der Stimmen die Verweigerung der Aussagegenehmigung für unbegründet erklärt.</w:t>
      </w:r>
    </w:p>
    <w:p>
      <w:r>
        <w:rPr>
          <w:color w:val="555555"/>
          <w:sz w:val="17"/>
        </w:rPr>
        <w:t xml:space="preserve">Zitiervorschlag: § 24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