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VerfGGBbg (Brandenburg) — Ergänzende Bestimmungen, Zustellungen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Soweit dieses Gesetz keine Bestimmungen über das Verfahren enthält, sind die Vorschriften der Verwaltungsgerichtsordnung, ergänzend die der Zivilprozeßordnung, entsprechend heranzuziehen.</w:t>
      </w:r>
    </w:p>
    <w:p>
      <w:r>
        <w:t xml:space="preserve">(2) Für die Zustellungen gilt das Landeszustellungsgesetz.</w:t>
      </w:r>
    </w:p>
    <w:p>
      <w:r>
        <w:rPr>
          <w:color w:val="555555"/>
          <w:sz w:val="17"/>
        </w:rPr>
        <w:t xml:space="preserve">Zitiervorschlag: § 13 VerfGGBbg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