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VereinsGDV — Beendigung der Beschlagnahme</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Mit dem Eintritt der Rechtskraft des das Vereinsverbot aufhebenden Urteils endet auch die Beschlagnahme des Vereinsvermögens.</w:t>
      </w:r>
    </w:p>
    <w:p>
      <w:r>
        <w:t xml:space="preserve">(2) Die Verbotsbehörde hat die Beschlagnahme aufzuheben, wenn von einer Einziehung des Vereinsvermögens endgültig abgesehen worden ist oder wenn seit der Beschlagnahme sechs Monate vergangen sind, ohne daß die Einziehung des Vereinsvermögens angeordnet wurde.</w:t>
      </w:r>
    </w:p>
    <w:p>
      <w:r>
        <w:t xml:space="preserve">(3) Die Verbotsbehörde hat einzelne Gegenstände von der Beschlagnahme auszunehmen, auf die § 13 Abs. 2 des Vereinsgesetzes angewandt wurde.</w:t>
      </w:r>
    </w:p>
    <w:p>
      <w:r>
        <w:rPr>
          <w:color w:val="555555"/>
          <w:sz w:val="17"/>
        </w:rPr>
        <w:t xml:space="preserve">Zitiervorschlag: § 7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