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VereinsGDV — Inkrafttreten</w:t>
      </w:r>
    </w:p>
    <w:p>
      <w:r>
        <w:rPr>
          <w:color w:val="555555"/>
          <w:sz w:val="18"/>
        </w:rPr>
        <w:t xml:space="preserve">Verordnung zur Durchführung des Gesetzes zur Regelung des öffentlichen Vereinsrechts (Vereinsgesetz)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1966 in Kraft.</w:t>
      </w:r>
    </w:p>
    <w:p>
      <w:r>
        <w:rPr>
          <w:color w:val="555555"/>
          <w:sz w:val="17"/>
        </w:rPr>
        <w:t xml:space="preserve">Zitiervorschlag: § 25 VereinsGDV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https://recht.nulegal.eu/gesetze/VereinsGDV/25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