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VereinsGDV — Registereintragung</w:t>
      </w:r>
    </w:p>
    <w:p>
      <w:r>
        <w:rPr>
          <w:color w:val="555555"/>
          <w:sz w:val="18"/>
        </w:rPr>
        <w:t xml:space="preserve">Verordnung zur Durchführung des Gesetzes zur Regelung des öffentlichen Vereinsrechts (Vereinsgesetz)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Nach Eintritt der Vollziehbarkeit ist die Beschlagnahme in das Grundbuch, das Schiffsregister und das Schiffsbauregister einzutragen</w:t>
      </w:r>
    </w:p>
    <w:p>
      <w:pPr>
        <w:ind w:left="420"/>
      </w:pPr>
      <w:r>
        <w:t xml:space="preserve">1. bei den Grundstücken, eingetragenen Schiffen und Schiffsbauwerken, als deren Eigentümer der Verein oder eine Teilorganisation eingetragen ist,</w:t>
      </w:r>
    </w:p>
    <w:p>
      <w:pPr>
        <w:ind w:left="420"/>
      </w:pPr>
      <w:r>
        <w:t xml:space="preserve">2. bei den für den Verein oder eine Teilorganisation eingetragenen Rechten an Grundstücken, eingetragenen Schiffen oder Schiffsbauwerken oder an eingetragenen Rechten,</w:t>
      </w:r>
    </w:p>
    <w:p>
      <w:pPr>
        <w:ind w:left="420"/>
      </w:pPr>
      <w:r>
        <w:t xml:space="preserve">3. bei den nach § 10 Abs. 1 Satz 3 des Vereinsgesetzes von der Beschlagnahme erfaßten Grundstücken, eingetragenen Schiffen oder Schiffsbauwerken sowie eingetragenen Rechten Dritter.</w:t>
      </w:r>
    </w:p>
    <w:p>
      <w:r>
        <w:t xml:space="preserve">(2) Die Eintragung erfolgt auf Ersuchen der Verbotsbehörde, der Vollzugsbehörde oder der Einziehungsbehörde. Sie erfolgt ferner auf Antrag des Verwalters (§ 10 Abs. 3 des Vereinsgesetzes); einer Bewilligung des von der Eintragung Betroffenen bedarf es nicht. Die Eintragung ist gebührenfrei.</w:t>
      </w:r>
    </w:p>
    <w:p>
      <w:r>
        <w:t xml:space="preserve">(3) Für die Löschung der Eintragung gilt Absatz 2 entsprechend.</w:t>
      </w:r>
    </w:p>
    <w:p>
      <w:r>
        <w:t xml:space="preserve">(4) Zu einer Eintragung nach den Absätzen 1 bis 3 bei einer Hypothek, Grundschuld oder Rentenschuld, über die ein Brief erteilt ist, braucht der Brief nicht vorgelegt zu werden.</w:t>
      </w:r>
    </w:p>
    <w:p>
      <w:r>
        <w:rPr>
          <w:color w:val="555555"/>
          <w:sz w:val="17"/>
        </w:rPr>
        <w:t xml:space="preserve">Zitiervorschlag: § 2 VereinsGDV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https://recht.nulegal.eu/gesetze/VereinsGDV/2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