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VereinsGDV — Berichtigung des Grundbuchs, des Schiffsregisters und des Schiffsbauregisters</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(1) Werden durch eine wirksam gewordene Einziehung nach § 11 oder § 12 des Vereinsgesetzes Grundstücke oder Rechte erfaßt, die für den Verein, eine vom Verbot erfaßte Teilorganisation desselben oder den in § 12 des Vereinsgesetzes bezeichneten Dritten im Grundbuch eingetragen sind, ersucht die Verbotsbehörde oder die Einziehungsbehörde das Grundbuchamt um Berichtigung des Grundbuchs. Der Eintragung für den Verein, die Teilorganisation oder den Dritten steht es gleich, wenn ein Fall des § 39 Abs. 2 oder des § 40 Abs. 1 der Grundbuchordnung vorliegt. Die §§ 41 bis 43 der Grundbuchordnung bleiben unberührt.</w:t>
      </w:r>
    </w:p>
    <w:p>
      <w:r>
        <w:t xml:space="preserve">(2) Bei einer Hypothek, Grundschuld oder Rentenschuld, über die ein Brief erteilt ist, kann die Verbotsbehörde oder die Einziehungsbehörde, solange die Berichtigung des Grundbuchs nach Absatz 1 nicht erfolgt ist, das Grundbuchamt um die Eintragung eines Widerspruchs gegen die Richtigkeit des Grundbuchs ersuchen; der Widerspruch hat die Wirkung eines nach § 899 des Bürgerlichen Gesetzbuchs eingetragenen Widerspruchs. Der Brief braucht nicht vorgelegt zu werden. Für die Löschung des Widerspruchs gelten diese Vorschriften entsprechend.</w:t>
      </w:r>
    </w:p>
    <w:p>
      <w:r>
        <w:t xml:space="preserve">(3) Absatz 1 gilt für die Berichtigung des Schiffsregisters und des Schiffsbauregisters entsprechend mit der Maßgabe, daß an die Stelle des § 39 Abs. 2 und des § 40 Abs. 1 der Grundbuchordnung § 46 der Schiffsregisterordnung in der Fassung vom 26. Mai 1951 (Bundesgesetzbl. I S. 359) tritt.</w:t>
      </w:r>
    </w:p>
    <w:p>
      <w:r>
        <w:rPr>
          <w:color w:val="555555"/>
          <w:sz w:val="17"/>
        </w:rPr>
        <w:t xml:space="preserve">Zitiervorschlag: § 18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