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VereinsGDV — Härtefälle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unbillige Härte im Sinne des § 13 Abs. 2 des Vereinsgesetzes liegt insbesondere vor, wenn das Interesse des Betroffenen an der Aufrechterhaltung des bestehenden Zustands das öffentliche Interesse an der Einziehung erheblich übersteigt.</w:t>
      </w:r>
    </w:p>
    <w:p>
      <w:r>
        <w:t xml:space="preserve">(2) Die Anordnung, daß ein nach § 11 Abs. 1 Satz 2 des Vereinsgesetzes eintretender Rechtsverlust unterbleibt oder von der Einziehung nach § 12 des Vereinsgesetzes abgesehen wird, ergeht durch schriftlichen Bescheid an den Betroffenen. Ergeht die Anordnung nach Eintritt des Rechtsverlustes oder nach erfolgter Einziehung, so hebt sie diese auf.</w:t>
      </w:r>
    </w:p>
    <w:p>
      <w:r>
        <w:rPr>
          <w:color w:val="555555"/>
          <w:sz w:val="17"/>
        </w:rPr>
        <w:t xml:space="preserve">Zitiervorschlag: § 17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