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VereinsGDV — Mitteilung des Rechtsübergangs</w:t>
      </w:r>
    </w:p>
    <w:p>
      <w:r>
        <w:rPr>
          <w:color w:val="555555"/>
          <w:sz w:val="18"/>
        </w:rPr>
        <w:t xml:space="preserve">Verordnung zur Durchführung des Gesetzes zur Regelung des öffentlichen Vereinsrechts (Vereinsgesetz)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Verbotsbehörde oder die Einziehungsbehörde setzt von dem nach § 11 Abs. 2 Satz 1 des Vereinsgesetzes erfolgten Rechtsübergang in Kenntnis</w:t>
      </w:r>
    </w:p>
    <w:p>
      <w:pPr>
        <w:ind w:left="420"/>
      </w:pPr>
      <w:r>
        <w:t xml:space="preserve">1. die Schuldner des Vereins,</w:t>
      </w:r>
    </w:p>
    <w:p>
      <w:pPr>
        <w:ind w:left="420"/>
      </w:pPr>
      <w:r>
        <w:t xml:space="preserve">2. die Eigentümer von Sachen, die nach § 11 Abs. 2 des Vereinsgesetzes von der Einziehung erfaßt werden,</w:t>
      </w:r>
    </w:p>
    <w:p>
      <w:pPr>
        <w:ind w:left="420"/>
      </w:pPr>
      <w:r>
        <w:t xml:space="preserve">3. die Gläubiger und die Schuldner von Forderungen, die nach § 11 Abs. 2 des Vereinsgesetzes von der Einziehung erfaßt werden,</w:t>
      </w:r>
    </w:p>
    <w:p>
      <w:pPr>
        <w:ind w:left="420"/>
      </w:pPr>
      <w:r>
        <w:t xml:space="preserve">4. die Inhaber sonstiger Rechte, die nach § 11 Abs. 2 des Vereinsgesetzes von der Einziehung erfaßt werden.</w:t>
      </w:r>
    </w:p>
    <w:p>
      <w:r>
        <w:rPr>
          <w:color w:val="555555"/>
          <w:sz w:val="17"/>
        </w:rPr>
        <w:t xml:space="preserve">Zitiervorschlag: § 13 VereinsGDV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https://recht.nulegal.eu/gesetze/VereinsGDV/13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