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VereinsGDV — Von der Einziehungsbehörde bestellte Verwalter</w:t>
      </w:r>
    </w:p>
    <w:p>
      <w:r>
        <w:rPr>
          <w:color w:val="555555"/>
          <w:sz w:val="18"/>
        </w:rPr>
        <w:t xml:space="preserve">Verordnung zur Durchführung des Gesetzes zur Regelung des öffentlichen Vereinsrechts (Vereinsgesetz)</w:t>
      </w:r>
    </w:p>
    <w:p>
      <w:r>
        <w:rPr>
          <w:color w:val="555555"/>
          <w:sz w:val="18"/>
        </w:rPr>
        <w:t xml:space="preserve">Stand: 10.06.2019 (konsolidierte Textfassung, kein amtliches Inkrafttretensdatum)</w:t>
      </w:r>
    </w:p>
    <w:p>
      <w:r>
        <w:t xml:space="preserve">Ein von der Einziehungsbehörde bestellter Verwalter (§ 11 Abs. 3 Satz 2 des Vereinsgesetzes) ist unbeschadet der Weisungsbefugnis der Einziehungsbehörde berechtigt, alle zur Durchführung der Einziehung und Abwicklung notwendigen Handlungen vorzunehmen, soweit diese nicht nach den §§ 11 bis 13 des Vereinsgesetzes der Verbotsbehörde oder der Einziehungsbehörde vorbehalten sind. Die §§ 8, 9 Abs. 1, 3, 4 und § 10 gelten entsprechend.</w:t>
      </w:r>
    </w:p>
    <w:p>
      <w:r>
        <w:rPr>
          <w:color w:val="555555"/>
          <w:sz w:val="17"/>
        </w:rPr>
        <w:t xml:space="preserve">Zitiervorschlag: § 11 VereinsGDV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https://recht.nulegal.eu/gesetze/VereinsGDV/11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