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31 VereinsG — Übergangsregelungen</w:t>
      </w:r>
    </w:p>
    <w:p>
      <w:r>
        <w:rPr>
          <w:color w:val="555555"/>
          <w:sz w:val="18"/>
        </w:rPr>
        <w:t xml:space="preserve">Vereinsgesetz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Auf vereinsrechtliche Entscheidungen, die vor Inkrafttreten dieses Gesetzes ergangen sind, sind die bisher geltenden Vorschriften anzuwenden.</w:t>
      </w:r>
    </w:p>
    <w:p>
      <w:r>
        <w:t xml:space="preserve">(2) Die §§ 8, 9 und 20 dieses Gesetzes sowie § 90b des Strafgesetzbuches in der Fassung des § 22 Nr. 3 dieses Gesetzes sind auch anzuwenden, wenn ein Verein vor Inkrafttreten dieses Gesetzes verboten worden ist.</w:t>
      </w:r>
    </w:p>
    <w:p>
      <w:r>
        <w:t xml:space="preserve">(3) Unanfechtbar verboten im Sinne des § 90b des Strafgesetzbuches in der Fassung des § 22 Nr. 3 dieses Gesetzes ist ein Verein auch dann, wenn das Bundesverwaltungsgericht oder das oberste Verwaltungsgericht eines Landes unanfechtbar festgestellt hat, daß er nach Artikel 9 Abs. 2 des Grundgesetzes verboten ist.</w:t>
      </w:r>
    </w:p>
    <w:p>
      <w:r>
        <w:t xml:space="preserve">(4) Rechtshängige Verfahren nach § 129a Abs. 3 des Strafgesetzbuches in der Fassung des Strafrechtsänderungsgesetzes vom 30. August 1951 (Bundesgesetzbl. I S. 739) sind mit Inkrafttreten dieses Gesetzes beendet. Gerichtskosten werden nicht erhoben; jede Partei trägt ihre außergerichtlichen Kosten.</w:t>
      </w:r>
    </w:p>
    <w:p>
      <w:r>
        <w:rPr>
          <w:color w:val="555555"/>
          <w:sz w:val="17"/>
        </w:rPr>
        <w:t xml:space="preserve">Zitiervorschlag: § 31 VereinsG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https://recht.nulegal.eu/gesetze/VereinsG/31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