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VereinsG — Aufhebung und Fortgeltung von Rechtsvorschriften</w:t>
      </w:r>
    </w:p>
    <w:p>
      <w:r>
        <w:rPr>
          <w:color w:val="555555"/>
          <w:sz w:val="18"/>
        </w:rPr>
        <w:t xml:space="preserve">Vereinsgesetz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(Aufhebungsvorschriften)</w:t>
      </w:r>
    </w:p>
    <w:p>
      <w:r>
        <w:t xml:space="preserve">(2) Unberührt bleiben</w:t>
      </w:r>
    </w:p>
    <w:p>
      <w:pPr>
        <w:ind w:left="420"/>
      </w:pPr>
      <w:r>
        <w:t xml:space="preserve">1. § 39 Abs. 2 des Gesetzes über das Bundesverfassungsgericht,</w:t>
      </w:r>
    </w:p>
    <w:p>
      <w:pPr>
        <w:ind w:left="420"/>
      </w:pPr>
      <w:r>
        <w:t xml:space="preserve">2. die §§ 43 und 44 des Bürgerlichen Gesetzbuches,</w:t>
      </w:r>
    </w:p>
    <w:p>
      <w:pPr>
        <w:ind w:left="420"/>
      </w:pPr>
      <w:r>
        <w:t xml:space="preserve">3. § 62 des Gesetzes betreffend die Gesellschaften mit beschränkter Haftung, §§ 288 bis 293 des Aktiengesetzes, § 81 des Gesetzes betreffend die Erwerbs- und Wirtschaftsgenossenschaften, § 304 des Versicherungsaufsichtsgesetzes und § 38 Abs. 1 des Gesetzes über das Kreditwesen,</w:t>
      </w:r>
    </w:p>
    <w:p>
      <w:pPr>
        <w:ind w:left="420"/>
      </w:pPr>
      <w:r>
        <w:t xml:space="preserve">4. § 13 des Gesetzes über die Rechtsstellung heimatloser Ausländer im Bundesgebiet vom 25. April 1951 (Bundesgesetzbl. I S. 269) und</w:t>
      </w:r>
    </w:p>
    <w:p>
      <w:pPr>
        <w:ind w:left="420"/>
      </w:pPr>
      <w:r>
        <w:t xml:space="preserve">5. die in zwischenstaatlichen Vereinbarungen getroffenen Sonderregelungen über Ausländervereine und ausländische Vereine.</w:t>
      </w:r>
    </w:p>
    <w:p>
      <w:r>
        <w:rPr>
          <w:color w:val="555555"/>
          <w:sz w:val="17"/>
        </w:rPr>
        <w:t xml:space="preserve">Zitiervorschlag: § 30 VereinsG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