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VereinsG — Verbot</w:t>
      </w:r>
    </w:p>
    <w:p>
      <w:r>
        <w:rPr>
          <w:color w:val="555555"/>
          <w:sz w:val="18"/>
        </w:rPr>
        <w:t xml:space="preserve">Vereinsgesetz</w:t>
      </w:r>
    </w:p>
    <w:p>
      <w:r>
        <w:rPr>
          <w:color w:val="555555"/>
          <w:sz w:val="18"/>
        </w:rPr>
        <w:t xml:space="preserve">Stand: 05.07.2020 (konsolidierte Textfassung, kein amtliches Inkrafttretensdatum)</w:t>
      </w:r>
    </w:p>
    <w:p>
      <w:r>
        <w:t xml:space="preserve">(1) Ein Verein darf erst dann als verboten (Artikel 9 Abs. 2 des Grundgesetzes) behandelt werden, wenn durch Verfügung der Verbotsbehörde festgestellt ist, daß seine Zwecke oder seine Tätigkeit den Strafgesetzen zuwiderlaufen oder daß er sich gegen die verfassungsmäßige Ordnung oder den Gedanken der Völkerverständigung richtet; in der Verfügung ist die Auflösung des Vereins anzuordnen (Verbot). Mit dem Verbot ist in der Regel die Beschlagnahme und die Einziehung</w:t>
      </w:r>
    </w:p>
    <w:p>
      <w:pPr>
        <w:ind w:left="420"/>
      </w:pPr>
      <w:r>
        <w:t xml:space="preserve">1. des Vereinsvermögens,</w:t>
      </w:r>
    </w:p>
    <w:p>
      <w:pPr>
        <w:ind w:left="420"/>
      </w:pPr>
      <w:r>
        <w:t xml:space="preserve">2. von Forderungen Dritter, soweit die Einziehung in § 12 Abs. 1 vorgesehen ist, und</w:t>
      </w:r>
    </w:p>
    <w:p>
      <w:pPr>
        <w:ind w:left="420"/>
      </w:pPr>
      <w:r>
        <w:t xml:space="preserve">3. von Sachen Dritter, soweit der Berechtigte durch die Überlassung der Sachen an den Verein dessen verfassungswidrige Bestrebungen vorsätzlich gefördert hat oder die Sachen zur Förderung dieser Bestrebungen bestimmt sind,</w:t>
      </w:r>
    </w:p>
    <w:p>
      <w:r>
        <w:t xml:space="preserve">zu verbinden.</w:t>
      </w:r>
    </w:p>
    <w:p>
      <w:r>
        <w:t xml:space="preserve">(2) Verbotsbehörde ist</w:t>
      </w:r>
    </w:p>
    <w:p>
      <w:pPr>
        <w:ind w:left="420"/>
      </w:pPr>
      <w:r>
        <w:t xml:space="preserve">1. die obersten Landesbehörde oder die nach Landesrecht zuständige Behörde für Vereine und Teilvereine, deren erkennbare Organisation und Tätigkeit sich auf das Gebiet eines Landes beschränken;</w:t>
      </w:r>
    </w:p>
    <w:p>
      <w:pPr>
        <w:ind w:left="420"/>
      </w:pPr>
      <w:r>
        <w:t xml:space="preserve">2. das Bundesministerium des Innern, für Bau und Heimat für Vereine und Teilvereine, deren Organisation oder Tätigkeit sich über das Gebiet eines Landes hinaus erstreckt.</w:t>
      </w:r>
    </w:p>
    <w:p>
      <w:r>
        <w:t xml:space="preserve">Die oberste Landesbehörde oder die nach Landesrecht zuständige Behörde entscheidet im Benehmen mit dem Bundesministerium des Innern, für Bau und Heimat, wenn sich das Verbot gegen den Teilverein eines Vereins richtet, für dessen Verbot nach Satz 1 Nr. 2 das Bundesministerium des Innern, für Bau und Heimat zuständig ist. Das Bundesministerium des Innern, für Bau und Heimat entscheidet im Benehmen mit Behörden, die nach Satz 1 Nr. 1 für das Verbot von Teilvereinen zuständig gewesen wären.</w:t>
      </w:r>
    </w:p>
    <w:p>
      <w:r>
        <w:t xml:space="preserve">(3) Das Verbot erstreckt sich, wenn es nicht ausdrücklich beschränkt wird, auf alle Organisationen, die dem Verein derart eingegliedert sind, daß sie nach dem Gesamtbild der tatsächlichen Verhältnisse als Gliederung dieses Vereins erscheinen (Teilorganisationen). Auf nichtgebietliche Teilorganisationen mit eigener Rechtspersönlichkeit erstreckt sich das Verbot nur, wenn sie in der Verbotsverfügung ausdrücklich benannt sind.</w:t>
      </w:r>
    </w:p>
    <w:p>
      <w:r>
        <w:t xml:space="preserve">(4) Das Verbot ist schriftlich oder elektronisch mit einer dauerhaft überprüfbaren Signatur nach § 37 Abs. 4 des Verwaltungsverfahrensgesetzes abzufassen, zu begründen und dem Verein, im Falle des Absatzes 3 Satz 2 auch den Teilorganisationen, zuzustellen. Der verfügende Teil des Verbots ist im Bundesanzeiger und danach im amtlichen Mitteilungsblatt des Landes bekanntzumachen, in dem der Verein oder, sofern sich das Verbot hierauf beschränkt, der Teilverein seinen Sitz hat; Verbote nach § 15 werden nur im Bundesanzeiger bekanntgemacht. Das Verbot wird mit der Zustellung, spätestens mit der Bekanntmachung im Bundesanzeiger, wirksam und vollziehbar; § 80 der Verwaltungsgerichtsordnung bleibt unberührt.</w:t>
      </w:r>
    </w:p>
    <w:p>
      <w:r>
        <w:t xml:space="preserve">(5) Die Verbotsbehörde kann das Verbot auch auf Handlungen von Mitgliedern des Vereins stützen, wenn</w:t>
      </w:r>
    </w:p>
    <w:p>
      <w:pPr>
        <w:ind w:left="420"/>
      </w:pPr>
      <w:r>
        <w:t xml:space="preserve">1. ein Zusammenhang zur Tätigkeit im Verein oder zu seiner Zielsetzung besteht,</w:t>
      </w:r>
    </w:p>
    <w:p>
      <w:pPr>
        <w:ind w:left="420"/>
      </w:pPr>
      <w:r>
        <w:t xml:space="preserve">2. die Handlungen auf einer organisierten Willensbildung beruhen und</w:t>
      </w:r>
    </w:p>
    <w:p>
      <w:pPr>
        <w:ind w:left="420"/>
      </w:pPr>
      <w:r>
        <w:t xml:space="preserve">3. nach den Umständen anzunehmen ist, daß sie vom Verein geduldet werden.</w:t>
      </w:r>
    </w:p>
    <w:p>
      <w:r>
        <w:rPr>
          <w:color w:val="555555"/>
          <w:sz w:val="17"/>
        </w:rPr>
        <w:t xml:space="preserve">Zitiervorschlag: § 3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