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VereinsG — Rechtsverordnungen</w:t>
      </w:r>
    </w:p>
    <w:p>
      <w:r>
        <w:rPr>
          <w:color w:val="555555"/>
          <w:sz w:val="18"/>
        </w:rPr>
        <w:t xml:space="preserve">Vereinsgesetz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Bundesregierung kann durch Rechtsverordnung mit Zustimmung des Bundesrates</w:t>
      </w:r>
    </w:p>
    <w:p>
      <w:pPr>
        <w:ind w:left="420"/>
      </w:pPr>
      <w:r>
        <w:t xml:space="preserve">1. Bestimmungen über den Vollzug des Verbotes, insbesondere die Durchführung der Auflösung eines Vereins, die Durchführung und Aufhebung der Beschlagnahme sowie die Verwaltung des Vereinsvermögens während der Beschlagnahme erlassen,</w:t>
      </w:r>
    </w:p>
    <w:p>
      <w:pPr>
        <w:ind w:left="420"/>
      </w:pPr>
      <w:r>
        <w:t xml:space="preserve">2. Bestimmungen über das Verfahren der Einziehung, die Ausschlußfrist (§ 13 Abs. 1 Satz 1), die vorzeitige Befriedigung von Gläubigern (§ 13 Abs. 1 Satz 2), die Anwendung des § 13 Abs. 2 oder die Berichtigung des Grundbuchs treffen und das Insolvenzverfahren über die besondere Vermögensmasse in Anpassung an die besonderen Gegebenheiten bei der Einziehung näher regeln,</w:t>
      </w:r>
    </w:p>
    <w:p>
      <w:pPr>
        <w:ind w:left="420"/>
      </w:pPr>
      <w:r>
        <w:t xml:space="preserve">3. nähere Vorschriften über die Verwendung des eingezogenen Vermögens treffen,</w:t>
      </w:r>
    </w:p>
    <w:p>
      <w:pPr>
        <w:ind w:left="420"/>
      </w:pPr>
      <w:r>
        <w:t xml:space="preserve">4. Ausländervereine und ausländische Vereine einer Anmelde- und Auskunftspflicht unterwerfen, Vorschriften über Inhalt, Form und Verfahren der Anmeldung erlassen und die Auskunftspflicht näher regeln.</w:t>
      </w:r>
    </w:p>
    <w:p>
      <w:r>
        <w:rPr>
          <w:color w:val="555555"/>
          <w:sz w:val="17"/>
        </w:rPr>
        <w:t xml:space="preserve">Zitiervorschlag: § 19 VereinsG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https://recht.nulegal.eu/gesetze/VereinsG/19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