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VereinsG — Räumlicher Geltungsbereich von Vereinsverboten</w:t>
      </w:r>
    </w:p>
    <w:p>
      <w:r>
        <w:rPr>
          <w:color w:val="555555"/>
          <w:sz w:val="18"/>
        </w:rPr>
        <w:t xml:space="preserve">Vereinsgesetz</w:t>
      </w:r>
    </w:p>
    <w:p>
      <w:r>
        <w:rPr>
          <w:color w:val="555555"/>
          <w:sz w:val="18"/>
        </w:rPr>
        <w:t xml:space="preserve">Stand: 10.06.2019 (konsolidierte Textfassung, kein amtliches Inkrafttretensdatum)</w:t>
      </w:r>
    </w:p>
    <w:p>
      <w:r>
        <w:t xml:space="preserve">Verbote von Vereinen, die ihren Sitz außerhalb des räumlichen Geltungsbereichs dieses Gesetzes, aber Teilorganisationen innerhalb dieses Bereichs haben, erstrecken sich nur auf die Teilorganisationen innerhalb dieses Bereichs. Hat der Verein im räumlichen Geltungsbereich dieses Gesetzes keine Organisation, so richtet sich das Verbot (§ 3 Abs. 1) gegen seine Tätigkeit in diesem Bereich.</w:t>
      </w:r>
    </w:p>
    <w:p>
      <w:r>
        <w:rPr>
          <w:color w:val="555555"/>
          <w:sz w:val="17"/>
        </w:rPr>
        <w:t xml:space="preserve">Zitiervorschlag: § 18 VereinsG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https://recht.nulegal.eu/gesetze/VereinsG/18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