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VereinsG — Wirtschaftsvereinigungen</w:t>
      </w:r>
    </w:p>
    <w:p>
      <w:r>
        <w:rPr>
          <w:color w:val="555555"/>
          <w:sz w:val="18"/>
        </w:rPr>
        <w:t xml:space="preserve">Vereinsgesetz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dieses Gesetzes sind auf Aktiengesellschaften, Kommanditgesellschaften auf Aktien, Gesellschaften mit beschränkter Haftung, konzessionierte Wirtschaftsvereine nach § 22 des Bürgerlichen Gesetzbuches, Europäische Gesellschaften, Genossenschaften, Europäische Genossenschaften und Versicherungsvereine auf Gegenseitigkeit nur anzuwenden,</w:t>
      </w:r>
    </w:p>
    <w:p>
      <w:pPr>
        <w:ind w:left="420"/>
      </w:pPr>
      <w:r>
        <w:t xml:space="preserve">1. wenn sie sich gegen die verfassungsmäßige Ordnung oder gegen den Gedanken der Völkerverständigung richten oder</w:t>
      </w:r>
    </w:p>
    <w:p>
      <w:pPr>
        <w:ind w:left="420"/>
      </w:pPr>
      <w:r>
        <w:t xml:space="preserve">2. wenn ihre Zwecke oder ihre Tätigkeit den in § 74a Abs. 1 oder § 120 Abs. 1 und 2 des Gerichtsverfassungsgesetzes genannten Strafgesetzen oder dem § 130 des Strafgesetzbuches zuwiderlaufen oder</w:t>
      </w:r>
    </w:p>
    <w:p>
      <w:pPr>
        <w:ind w:left="420"/>
      </w:pPr>
      <w:r>
        <w:t xml:space="preserve">3. wenn sie von einem Verbot, das aus einem der in Nummer 1 oder 2 genannten Gründe erlassen wurde, nach § 3 Abs. 3 als Teilorganisation erfaßt werden, oder</w:t>
      </w:r>
    </w:p>
    <w:p>
      <w:pPr>
        <w:ind w:left="420"/>
      </w:pPr>
      <w:r>
        <w:t xml:space="preserve">4. wenn sie Ersatzorganisation eines Vereins sind, der aus einem der in Nummer 1 oder 2 genannten Gründe verboten wurde.</w:t>
      </w:r>
    </w:p>
    <w:p>
      <w:r>
        <w:rPr>
          <w:color w:val="555555"/>
          <w:sz w:val="17"/>
        </w:rPr>
        <w:t xml:space="preserve">Zitiervorschlag: § 17 VereinsG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https://recht.nulegal.eu/gesetze/VereinsG/17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