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VereinsG — Arbeitnehmer- und Arbeitgebervereinigungen</w:t>
      </w:r>
    </w:p>
    <w:p>
      <w:r>
        <w:rPr>
          <w:color w:val="555555"/>
          <w:sz w:val="18"/>
        </w:rPr>
        <w:t xml:space="preserve">Vereinsgesetz</w:t>
      </w:r>
    </w:p>
    <w:p>
      <w:r>
        <w:rPr>
          <w:color w:val="555555"/>
          <w:sz w:val="18"/>
        </w:rPr>
        <w:t xml:space="preserve">Stand: 10.06.2019 (konsolidierte Textfassung, kein amtliches Inkrafttretensdatum)</w:t>
      </w:r>
    </w:p>
    <w:p>
      <w:r>
        <w:t xml:space="preserve">(1) Verbote nach § 3 Abs. 1 oder Verfügungen nach § 8 Abs. 2 Satz 1 gegen Vereinigungen, die den Schutz des Übereinkommens Nr. 87 der Internationalen Arbeitsorganisation vom 9. Juli 1948 über die Vereinigungsfreiheit und den Schutz des Vereinigungsrechts (Bundesgesetzbl. 1956 II S. 2072) genießen, werden erst wirksam, wenn das Gericht ihre Rechtmäßigkeit bestätigt hat. § 3 Abs. 4 und § 8 Abs. 2 Satz 3 und 4 sind nicht anzuwenden.</w:t>
      </w:r>
    </w:p>
    <w:p>
      <w:r>
        <w:t xml:space="preserve">(2) Die Verbotsbehörde legt den nach § 48 Abs. 2 und 3, § 50 Abs. 1 Nr. 2 der Verwaltungsgerichtsordnung zuständigen Gericht ihre schriftlich oder elektronisch mit einer dauerhaft überprüfbaren Signatur nach § 37 Abs. 4 des Verwaltungsverfahrensgesetzes abgefaßte und begründete Entscheidung vor. Das Gericht stellt sie der Vereinigung und ihren darin benannten nichtgebietlichen Teilorganisationen mit eigener Rechtspersönlichkeit (§ 3 Abs. 3 Satz 2) zu. Beteiligt am Verfahren sind die Verbotsbehörde, die Vereinigung und ihre in der Entscheidung benannten nichtgebietlichen Teilorganisationen mit eigener Rechtspersönlichkeit sowie die nach § 63 Nr. 3 und 4 der Verwaltungsgerichtsordnung Beteiligten.</w:t>
      </w:r>
    </w:p>
    <w:p>
      <w:r>
        <w:t xml:space="preserve">(3) Versagt das Gericht die Bestätigung, so hebt es in dem Urteil zugleich das Verbot oder die Verfügung auf.</w:t>
      </w:r>
    </w:p>
    <w:p>
      <w:r>
        <w:t xml:space="preserve">(4) Auf Antrag der Verbotsbehörde kann das Gericht die nötigen einstweiligen Anordnungen treffen, insbesondere die Beschlagnahme des Vereinsvermögens verfügen. Betätigungsverbote und Beschlagnahmeanordnungen hat das Gericht entsprechend § 3 Abs. 4 Satz 2 bekanntzumachen.</w:t>
      </w:r>
    </w:p>
    <w:p>
      <w:r>
        <w:rPr>
          <w:color w:val="555555"/>
          <w:sz w:val="17"/>
        </w:rPr>
        <w:t xml:space="preserve">Zitiervorschlag: § 16 VereinsG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