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VereinsG — Abwicklung</w:t>
      </w:r>
    </w:p>
    <w:p>
      <w:r>
        <w:rPr>
          <w:color w:val="555555"/>
          <w:sz w:val="18"/>
        </w:rPr>
        <w:t xml:space="preserve">Vereinsgesetz</w:t>
      </w:r>
    </w:p>
    <w:p>
      <w:r>
        <w:rPr>
          <w:color w:val="555555"/>
          <w:sz w:val="18"/>
        </w:rPr>
        <w:t xml:space="preserve">Stand: 10.06.2019 (konsolidierte Textfassung, kein amtliches Inkrafttretensdatum)</w:t>
      </w:r>
    </w:p>
    <w:p>
      <w:r>
        <w:t xml:space="preserve">(1) Die Gläubiger, die ihre Forderungen innerhalb der von der Verbotsbehörde oder Einziehungsbehörde gesetzten Ausschlußfrist angemeldet haben, sind aus der besonderen Vermögensmasse zu befriedigen. Die Befriedigung von Gläubigern, die im Falle des Insolvenzverfahrens Insolvenzgläubiger wären, ist, soweit nicht eine Rechtsverordnung etwas anderes bestimmt, erst zulässig, wenn die Verwertung des eingezogenen Vermögens (§ 11 Abs. 1) eine zur Befriedigung aller Gläubiger ausreichende bare Masse ergeben hat. Forderungen, die innerhalb der Ausschlußfrist nicht angemeldet werden, erlöschen.</w:t>
      </w:r>
    </w:p>
    <w:p>
      <w:r>
        <w:t xml:space="preserve">(2) Zur Vermeidung unbilliger Härten kann die Verbotsbehörde oder die Einziehungsbehörde anordnen, daß ein nach § 11 Abs. 1 Satz 2 eintretender Rechtsverlust unterbleibt, oder von der Einziehung nach § 12 absehen.</w:t>
      </w:r>
    </w:p>
    <w:p>
      <w:r>
        <w:t xml:space="preserve">(3) Reicht das Vermögen nicht zur Befriedigung aller Ansprüche gegen die besondere Vermögensmasse aus, so findet auf Antrag der Verbotsbehörde oder der Einziehungsbehörde ein Insolvenzverfahren über die besondere Vermögensmasse statt. § 12 bleibt unberührt. Die von der Beschlagnahme (§ 3 Abs. 1 Satz 2) ab entstandenen Verwaltungsaufwendungen und die dem Verein nach dem Verbot durch die Inanspruchnahme von Rechtsbehelfen entstandenen Prozeßkosten sowie die Verwaltungsschulden gelten als Masseverbindlichkeiten. Der Insolvenzverwalter wird auf Vorschlag der Verbotsbehörde oder der Einziehungsbehörde vom Insolvenzgericht bestellt und entlassen. Die §§ 57, 67 bis 73, 101 der Insolvenzordnung sind nicht anzuwenden.</w:t>
      </w:r>
    </w:p>
    <w:p>
      <w:r>
        <w:t xml:space="preserve">(4) Das nach Befriedigung der gegen die besondere Vermögensmasse gerichteten Ansprüche verbleibende Vermögen und die nach § 12 eingezogenen Gegenstände sind vom Einziehungsbegünstigten für gemeinnützige Zwecke zu verwenden.</w:t>
      </w:r>
    </w:p>
    <w:p>
      <w:r>
        <w:rPr>
          <w:color w:val="555555"/>
          <w:sz w:val="17"/>
        </w:rPr>
        <w:t xml:space="preserve">Zitiervorschlag: § 13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