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VereinsG — Vermögenseinziehung</w:t>
      </w:r>
    </w:p>
    <w:p>
      <w:r>
        <w:rPr>
          <w:color w:val="555555"/>
          <w:sz w:val="18"/>
        </w:rPr>
        <w:t xml:space="preserve">Vereinsgesetz</w:t>
      </w:r>
    </w:p>
    <w:p>
      <w:r>
        <w:rPr>
          <w:color w:val="555555"/>
          <w:sz w:val="18"/>
        </w:rPr>
        <w:t xml:space="preserve">Stand: 05.07.2020 (konsolidierte Textfassung, kein amtliches Inkrafttretensdatum)</w:t>
      </w:r>
    </w:p>
    <w:p>
      <w:r>
        <w:t xml:space="preserve">(1) Die Einziehung (§ 3 Abs. 1 Satz 2) wird im Fall des § 3 Abs. 2 Nr. 1 zugunsten des Landes, im Fall des § 3 Abs. 2 Nr. 2 zugunsten des Bundes angeordnet. Die Einziehung erfaßt auch die Gegenstände, auf die sich nach § 10 Abs. 1 Satz 3 die Beschlagnahme erstreckt, mit Ausnahme der vom Verein einem Dritten zur Sicherung übertragenen Gegenstände.</w:t>
      </w:r>
    </w:p>
    <w:p>
      <w:r>
        <w:t xml:space="preserve">(2) Mit Eintritt der Unanfechtbarkeit des Verbots und der Einziehungsanordnung erwirbt der Einziehungsbegünstigte das Vereinsvermögen und die nach Absatz 1 Satz 2 eingezogenen Gegenstände als besondere Vermögensmasse. Gegenstände, die einer Teilorganisation in der Rechtsform eines Vereins, einer Gesellschaft oder einer Stiftung gehört haben, bilden eine eigene Vermögensmasse. Der Verein und die von der Einziehung betroffenen Teilorganisationen erlöschen. Ihre Rechtsverhältnisse sind im Einziehungsverfahren abzuwickeln.</w:t>
      </w:r>
    </w:p>
    <w:p>
      <w:r>
        <w:t xml:space="preserve">(3) Das Bundesministerium des Innern, für Bau und Heimat als Verbotsbehörde kann mit der Durchführung der Einziehung und mit der Abwicklung (§ 13) das Bundesverwaltungsamt oder eine andere Bundesbehörde beauftragen (Einziehungsbehörde). § 10 Abs. 3 gilt entsprechend. Die Beauftragung ist im Bundesanzeiger und in dem in § 3 Abs. 4 Satz 2 genannten Mitteilungsblatt zu veröffentlichen.</w:t>
      </w:r>
    </w:p>
    <w:p>
      <w:r>
        <w:t xml:space="preserve">(4) Die Verbotsbehörde kann von der Einziehung absehen, wenn keine Gefahr besteht, daß Vermögenswerte des Vereins von neuem zur Förderung von Handlungen oder Bestrebungen der in Artikel 9 Abs. 2 des Grundgesetzes genannten Art verwendet werden oder daß die Vermögensauseinandersetzung dazu mißbraucht wird, den organisatorischen Zusammenhalt des Vereins aufrechtzuerhalten, ferner, soweit es sich um Gegenstände von unerheblichem Wert handelt. Die Verbotsbehörde kann die Liquidatoren bestellen. § 12 Abs. 1 Satz 1 gilt sinngemäß für den Anspruch auf den Liquidationserlös.</w:t>
      </w:r>
    </w:p>
    <w:p>
      <w:r>
        <w:rPr>
          <w:color w:val="555555"/>
          <w:sz w:val="17"/>
        </w:rPr>
        <w:t xml:space="preserve">Zitiervorschlag: § 11 VereinsG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https://recht.nulegal.eu/gesetze/VereinsG/11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