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VerdStatG — Art der Erhebungen, Stichprobenauswahl, Erhebungseinheiten</w:t>
      </w:r>
    </w:p>
    <w:p>
      <w:r>
        <w:rPr>
          <w:color w:val="555555"/>
          <w:sz w:val="18"/>
        </w:rPr>
        <w:t xml:space="preserve">Verdienststatistikgesetz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Statistik umfasst</w:t>
      </w:r>
    </w:p>
    <w:p>
      <w:pPr>
        <w:ind w:left="420"/>
      </w:pPr>
      <w:r>
        <w:t xml:space="preserve">1. die Erhebung der Arbeitsverdienste (§ 4) und</w:t>
      </w:r>
    </w:p>
    <w:p>
      <w:pPr>
        <w:ind w:left="420"/>
      </w:pPr>
      <w:r>
        <w:t xml:space="preserve">2. die Erhebung der Struktur der Arbeitskosten (§ 5).</w:t>
      </w:r>
    </w:p>
    <w:p>
      <w:r>
        <w:t xml:space="preserve">Die Erhebungen werden als Stichprobenerhebungen durchgeführt. Die Auswahl der Erhebungseinheiten erfolgt nach mathematisch-statistischen Verfahren.</w:t>
      </w:r>
    </w:p>
    <w:p>
      <w:r>
        <w:t xml:space="preserve">(2) Die Erhebungseinheiten sind, soweit bei ihnen Personen in einem Beschäftigungsverhältnis stehen,</w:t>
      </w:r>
    </w:p>
    <w:p>
      <w:pPr>
        <w:ind w:left="420"/>
      </w:pPr>
      <w:r>
        <w:t xml:space="preserve">1. Personen des öffentlichen und privaten Rechts, insbesondere Unternehmen, Körperschaften und Stiftungen sowie Anstalten des öffentlichen Rechts (Gesamteinheiten);</w:t>
      </w:r>
    </w:p>
    <w:p>
      <w:pPr>
        <w:ind w:left="420"/>
      </w:pPr>
      <w:r>
        <w:t xml:space="preserve">2. räumlich getrennte Teile der unter Nummer 1 fallenden juristischen Personen, insbesondere die Haupt- und Zweigniederlassungen sowie die Betriebe von Unternehmen (Teileinheiten).</w:t>
      </w:r>
    </w:p>
    <w:p>
      <w:r>
        <w:rPr>
          <w:color w:val="555555"/>
          <w:sz w:val="17"/>
        </w:rPr>
        <w:t xml:space="preserve">Zitiervorschlag: § 2 VerdStatG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https://recht.nulegal.eu/gesetze/VerdStatG/2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