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VerbrVerbG</w:t>
      </w:r>
    </w:p>
    <w:p>
      <w:r>
        <w:rPr>
          <w:color w:val="555555"/>
          <w:sz w:val="18"/>
        </w:rPr>
        <w:t xml:space="preserve">Gesetz zur Überwachung strafrechtlicher und anderer Verbringungsverbote</w:t>
      </w:r>
    </w:p>
    <w:p>
      <w:r>
        <w:rPr>
          <w:color w:val="555555"/>
          <w:sz w:val="18"/>
        </w:rPr>
        <w:t xml:space="preserve">Stand: 10.06.2019 (konsolidierte Textfassung, kein amtliches Inkrafttretensdatum)</w:t>
      </w:r>
    </w:p>
    <w:p>
      <w:r>
        <w:t xml:space="preserve">(1) Die Hauptzollämter und ihre Beamten nehmen eine Nachprüfung vor, wenn sich tatsächliche Anhaltspunkte für den Verdacht ergeben, daß Gegenstände unter Verstoß gegen eines der in § 1 bezeichneten Strafgesetze in den räumlichen Geltungsbereich dieses Gesetzes verbracht werden, es sei denn, daß es sich lediglich um Reiselektüre handelt. Wird der Verdacht durch die Nachprüfung nicht ausgeräumt, so sind die Gegenstände der Staatsanwaltschaft vorzulegen.</w:t>
      </w:r>
    </w:p>
    <w:p>
      <w:r>
        <w:t xml:space="preserve">(2) Die Beamten der Hauptzollämter sind berechtigt, zum Zwecke der Nachprüfung Beförderungsmittel, Gepäckstücke, sonstige Behältnisse und Sendungen aller Art zu öffnen und zu durchsuchen. Sie sind zur Beschlagnahme befugt, wenn sich die Gegenstände im Gewahrsam einer Person befinden, die zur freiwilligen Herausgabe nicht bereit ist. Im Falle der Beschlagnahme gilt § 98 Abs. 2 der Strafprozeßordnung entsprechend.</w:t>
      </w:r>
    </w:p>
    <w:p>
      <w:r>
        <w:t xml:space="preserve">(3) (weggefallen)</w:t>
      </w:r>
    </w:p>
    <w:p>
      <w:r>
        <w:rPr>
          <w:color w:val="555555"/>
          <w:sz w:val="17"/>
        </w:rPr>
        <w:t xml:space="preserve">Zitiervorschlag: § 2 VerbrVerbG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https://recht.nulegal.eu/gesetze/VerbrVerbG/2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