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VeranstTechMeistPrV — Gliederung und Inhalt der Prüfung</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(1) Die Qualifikation zum Geprüften Meister für Veranstaltungstechnik/zur Geprüften Meisterin für Veranstaltungstechnik in den Fachrichtungen Bühne/Studio, Beleuchtung, Halle umfasst:</w:t>
      </w:r>
    </w:p>
    <w:p>
      <w:pPr>
        <w:ind w:left="420"/>
      </w:pPr>
      <w:r>
        <w:t xml:space="preserve">1. den fachrichtungsübergreifenden Teil nach § 4,</w:t>
      </w:r>
    </w:p>
    <w:p>
      <w:pPr>
        <w:ind w:left="420"/>
      </w:pPr>
      <w:r>
        <w:t xml:space="preserve">2. den fachrichtungsspezifischen Teil nach den §§ 5, 6 oder 7</w:t>
      </w:r>
    </w:p>
    <w:p>
      <w:pPr>
        <w:ind w:left="420"/>
      </w:pPr>
      <w:r>
        <w:t xml:space="preserve">3. den berufs- und arbeitspädagogischen Teil.</w:t>
      </w:r>
    </w:p>
    <w:p>
      <w:r>
        <w:t xml:space="preserve">(2) Die Prüfung besteht aus den Prüfungsteilen nach Absatz 1 Nummer 1 und 2. Diese können in beliebiger Reihenfolge an verschiedenen Prüfungsterminen geprüft werden; dabei ist mit dem letzten Prüfungsteil spätestens zwei Jahre nach dem ersten Prüfungstag des ersten Prüfungsteils zu beginnen.</w:t>
      </w:r>
    </w:p>
    <w:p>
      <w:r>
        <w:t xml:space="preserve">(3)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rPr>
          <w:color w:val="555555"/>
          <w:sz w:val="17"/>
        </w:rPr>
        <w:t xml:space="preserve">Zitiervorschlag: § 3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