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VeranstTechMeistPrV — Zulassungsvoraussetzungen</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Zur Meisterprüfung ist zuzulassen, wer</w:t>
      </w:r>
    </w:p>
    <w:p>
      <w:pPr>
        <w:ind w:left="420"/>
      </w:pPr>
      <w:r>
        <w:t xml:space="preserve">1. eine mit Erfolg abgelegte Abschlußprüfung in einem anerkannten Ausbildungsberuf, der der Fachrichtung, in der die Prüfung abgelegt werden soll, zugeordnet werden kann, und danach eine mindestens zweijährige dem angestrebten Abschluß entsprechende Berufspraxis oder</w:t>
      </w:r>
    </w:p>
    <w:p>
      <w:pPr>
        <w:ind w:left="420"/>
      </w:pPr>
      <w:r>
        <w:t xml:space="preserve">2. eine mit Erfolg abgelegte Abschlußprüfung in einem sonstigen anerkannten gewerblich-technischen oder handwerklichen Ausbildungsberuf und danach eine dem angestrebten Abschluß entsprechende Berufspraxis, die unter Anrechnung der in der Ausbildungsordnung für den Ausbildungsberuf vorgeschriebenen Ausbildungsdauer mindestens sechs Jahre beträgt,</w:t>
      </w:r>
    </w:p>
    <w:p>
      <w:r>
        <w:t xml:space="preserve">nachweist. Bei der Zulassung zur Prüfung für die Fachrichtungen Beleuchtung und Halle muss die Qualifikation als Elektrofachkraft vorhanden sein. Als Elektrofachkraft gilt, wer auf Grund seiner fachlichen Ausbildung Kenntnisse und Erfahrungen sowie Kenntnis der einschlägigen Bestimmungen die ihm übertragenen Arbeiten beim Errichten, Ändern und Instandhalten von elektrischen Anlagen und Betriebsmitteln beurteilen und mögliche Gefahren erkennen kann.</w:t>
      </w:r>
    </w:p>
    <w:p>
      <w:r>
        <w:t xml:space="preserve">(2) Abweichend von Absatz 1 kann zur Meisterprüfung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