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VeranstTechMeistPrV — Anwendungsregelung</w:t>
      </w:r>
    </w:p>
    <w:p>
      <w:r>
        <w:rPr>
          <w:color w:val="555555"/>
          <w:sz w:val="18"/>
        </w:rPr>
        <w:t xml:space="preserve">Verordnung über die Prüfung zum anerkannten Abschluß "Geprüfter Meister für Veranstaltungstechnik/Geprüfte Meisterin für Veranstaltungstechnik" in den Fachrichtungen Bühne/Studio, Beleuchtung, Halle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Für Fortbildungsprüfungsverfahren, die bis zum Ablauf des 31. Dezember 2019 begonnen werden, sind die Vorschriften dieser Verordnung bis zum Ablauf des 31. Dezember 2022 weiter anzuwenden.</w:t>
      </w:r>
    </w:p>
    <w:p>
      <w:r>
        <w:rPr>
          <w:color w:val="555555"/>
          <w:sz w:val="17"/>
        </w:rPr>
        <w:t xml:space="preserve">Zitiervorschlag: § 12 VeranstTechMeistPrV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https://recht.nulegal.eu/gesetze/VeranstTechMeistPrV/12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