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VeranstMstrFortbV — Zulassungsvoraussetzungen</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(1) Zur Prüfung im Prüfungsteil „Situative Aufgabe“ ist zuzulassen, wer</w:t>
      </w:r>
    </w:p>
    <w:p>
      <w:pPr>
        <w:ind w:left="420"/>
      </w:pPr>
      <w:r>
        <w:t xml:space="preserve">1. eine mit Erfolg abgelegte Abschlussprüfung in dem anerkannten Ausbildungsberuf Fachkraft für Veranstaltungstechnik und danach eine mindestens einjährige Berufspraxis oder</w:t>
      </w:r>
    </w:p>
    <w:p>
      <w:pPr>
        <w:ind w:left="420"/>
      </w:pPr>
      <w:r>
        <w:t xml:space="preserve">2. eine mit Erfolg abgelegte Abschlussprüfung in einem sonstigen anerkannten gewerblich-technischen Ausbildungsberuf und danach eine Berufspraxis von mindestens zwei Jahren oder</w:t>
      </w:r>
    </w:p>
    <w:p>
      <w:pPr>
        <w:ind w:left="420"/>
      </w:pPr>
      <w:r>
        <w:t xml:space="preserve">3. eine mindestens fünfjährige Berufspraxis</w:t>
      </w:r>
    </w:p>
    <w:p>
      <w:r>
        <w:t xml:space="preserve">nachweist. Für die Zulassung nach den Nummern 2 und 3 sind zusätzlich Nachweise nach Absatz 4 vorzulegen.</w:t>
      </w:r>
    </w:p>
    <w:p>
      <w:r>
        <w:t xml:space="preserve">(2) Zur Prüfung im Prüfungsteil „Prüfungsprojekt“ ist zuzulassen, wer den Prüfungsteil „Situative Aufgabe“ vor nicht mehr als fünf Jahren abgelegt hat und außer den in Absatz 1 genannten Praxiszeiten ein weiteres Jahr Berufspraxis nachweist.</w:t>
      </w:r>
    </w:p>
    <w:p>
      <w:r>
        <w:t xml:space="preserve">(3) Die Berufspraxis soll wesentliche Bezüge zu den Aufgaben eines Geprüften Meisters/einer Geprüften Meisterin für Veranstaltungstechnik nach § 1 Absatz 3 haben.</w:t>
      </w:r>
    </w:p>
    <w:p>
      <w:r>
        <w:t xml:space="preserve">(4) Durch Nachweise soll belegt werden, dass der Prüfungsteilnehmer oder die Prüfungsteilnehmerin Tätigkeiten ausgeübt hat, zu deren Ausübung Fertigkeiten, Kenntnisse und Fähigkeiten (berufliche Handlungsfähigkeit) benötigt werden, die der beruflichen Handlungsfähigkeit einer Fachkraft für Veranstaltungstechnik gleichwertig sind.</w:t>
      </w:r>
    </w:p>
    <w:p>
      <w:r>
        <w:t xml:space="preserve">(5) Abweichend von den in den Absätzen 1 bis 3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