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VeranstMstrFortbV — Umfang der Meisterqualifikation und Gliederung der Prüfung</w:t>
      </w:r>
    </w:p>
    <w:p>
      <w:r>
        <w:rPr>
          <w:color w:val="555555"/>
          <w:sz w:val="18"/>
        </w:rPr>
        <w:t xml:space="preserve">Verordnung über die Prüfung zum anerkannten Fortbildungsabschluss Geprüfter Meister für Veranstaltungstechnik/Geprüfte Meisterin für Veranstaltungstechnik</w:t>
      </w:r>
    </w:p>
    <w:p>
      <w:r>
        <w:rPr>
          <w:color w:val="555555"/>
          <w:sz w:val="18"/>
        </w:rPr>
        <w:t xml:space="preserve">Historische Fassung: Stand 10.06.2019 bis 02.01.2020. Dies ist nicht die aktuelle Fassung.</w:t>
      </w:r>
    </w:p>
    <w:p>
      <w:r>
        <w:t xml:space="preserve">(1) Die Qualifikation zum Geprüften Meister für Veranstaltungstechnik/zur Geprüften Meisterin für Veranstaltungstechnik umfasst:</w:t>
      </w:r>
    </w:p>
    <w:p>
      <w:pPr>
        <w:ind w:left="420"/>
      </w:pPr>
      <w:r>
        <w:t xml:space="preserve">1. Berufs- und arbeitspädagogische Qualifikationen sowie</w:t>
      </w:r>
    </w:p>
    <w:p>
      <w:pPr>
        <w:ind w:left="420"/>
      </w:pPr>
      <w:r>
        <w:t xml:space="preserve">2. Qualifikationen, die in den Prüfungsteilen „Situative Aufgabe“ und „Prüfungsprojekt“ nach dieser Verordnung geprüft werden.</w:t>
      </w:r>
    </w:p>
    <w:p>
      <w:r>
        <w:t xml:space="preserve">(2)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Nachweis ist bis spätestens vor Beginn der letzten Prüfungsleistung zu erbringen.</w:t>
      </w:r>
    </w:p>
    <w:p>
      <w:r>
        <w:rPr>
          <w:color w:val="555555"/>
          <w:sz w:val="17"/>
        </w:rPr>
        <w:t xml:space="preserve">Zitiervorschlag: § 2 VeranstMstrFortbV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https://recht.nulegal.eu/gesetze/VeranstMstrFortbV/2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