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VeranstFachwPrV — Ziel der Prüfung und Bezeichnung des Abschlusses</w:t>
      </w:r>
    </w:p>
    <w:p>
      <w:r>
        <w:rPr>
          <w:color w:val="555555"/>
          <w:sz w:val="18"/>
        </w:rPr>
        <w:t xml:space="preserve">Verordnung über die Prüfung zum anerkannten Abschluss Geprüfter Veranstaltungsfachwirt/Geprüfte Veranstaltungsfachwirtin</w:t>
      </w:r>
    </w:p>
    <w:p>
      <w:r>
        <w:rPr>
          <w:color w:val="555555"/>
          <w:sz w:val="18"/>
        </w:rPr>
        <w:t xml:space="preserve">Stand: 10.06.2019 (konsolidierte Textfassung, kein amtliches Inkrafttretensdatum)</w:t>
      </w:r>
    </w:p>
    <w:p>
      <w:r>
        <w:t xml:space="preserve">(1) Die zuständige Stelle kann berufliche Fortbildungsprüfungen zum Geprüften Veranstaltungsfachwirt/zur Geprüften Veranstaltungsfachwirtin nach den §§ 2 bis 10 durchführen, in denen die auf einen beruflichen Aufstieg abzielende Erweiterung der beruflichen Handlungsfähigkeit nachzuweisen ist.</w:t>
      </w:r>
    </w:p>
    <w:p>
      <w:r>
        <w:t xml:space="preserve">(2) Durch die Prüfung ist festzustellen, ob die notwendigen Qualifikationen und Erfahrungen vorhanden sind, um in der Veranstaltungswirtschaft, sowohl in Unternehmen der Veranstaltungswirtschaft als auch bei einer selbstständigen Tätigkeit, eigenständig umfassende und verantwortliche Aufgaben der Planung, Steuerung und Kontrolle veranstaltungsspezifischer Aufgaben und Sachverhalte unter Nutzung betriebs- und personalwirtschaftlicher Steuerungsinstrumente auszuüben. Ebenso sind Qualifikationen zu prüfen, die in Unternehmen und Institutionen ausgeführt werden, die als Veranstalter oder Veranstaltungsbeteiligte aktiv sind. Die Öffnung und Globalisierung der Märkte sollen dabei ebenso Berücksichtigung finden wie die daraus resultierenden Marktentwicklungen und -trends. Geprüfte Veranstaltungsfachwirte/Geprüfte Veranstaltungsfachwirtinnen sind befähigt, Aufgaben der betrieblichen Aus- und Weiterbildung wahrzunehmen. Des Weiteren sollen diese Kenntnisse in ihrer unterschiedlichen Ausprägung auf folgende Veranstaltungsbereiche angewandt werden können:</w:t>
      </w:r>
    </w:p>
    <w:p>
      <w:pPr>
        <w:ind w:left="420"/>
      </w:pPr>
      <w:r>
        <w:t xml:space="preserve">1. Messen und Ausstellungen,</w:t>
      </w:r>
    </w:p>
    <w:p>
      <w:pPr>
        <w:ind w:left="420"/>
      </w:pPr>
      <w:r>
        <w:t xml:space="preserve">2. Kongresse und Tagungen,</w:t>
      </w:r>
    </w:p>
    <w:p>
      <w:pPr>
        <w:ind w:left="420"/>
      </w:pPr>
      <w:r>
        <w:t xml:space="preserve">3. Kunst-, Kultur- und Sportveranstaltungen,</w:t>
      </w:r>
    </w:p>
    <w:p>
      <w:pPr>
        <w:ind w:left="420"/>
      </w:pPr>
      <w:r>
        <w:t xml:space="preserve">4. Marketing-Events.</w:t>
      </w:r>
    </w:p>
    <w:p>
      <w:r>
        <w:t xml:space="preserve">Insbesondere ist festzustellen, dass folgende Aufgaben eigenständig und verantwortlich wahrgenommen werden können:</w:t>
      </w:r>
    </w:p>
    <w:p>
      <w:pPr>
        <w:ind w:left="420"/>
      </w:pPr>
      <w:r>
        <w:t xml:space="preserve">1. das Analysieren und Bewerten von Sachverhalten der Veranstaltungswirtschaft auf der Basis von volkswirtschaftlichen, betriebswirtschaftlichen und rechtlichen Zusammenhängen sowie die daraus erfolgende Ableitung unternehmerischer Handlungsschritte,</w:t>
      </w:r>
    </w:p>
    <w:p>
      <w:pPr>
        <w:ind w:left="420"/>
      </w:pPr>
      <w:r>
        <w:t xml:space="preserve">2. das ziel- und teamorientierte Konzipieren, Organisieren, Durchführen und Nachbereiten von Veranstaltungen und Veranstaltungsbeteiligungen,</w:t>
      </w:r>
    </w:p>
    <w:p>
      <w:pPr>
        <w:ind w:left="420"/>
      </w:pPr>
      <w:r>
        <w:t xml:space="preserve">3. die systematische Entwicklung komplexer, vielfältiger und qualitätsorientierter Lösungen in Prozessen der Veranstaltungswirtschaft und</w:t>
      </w:r>
    </w:p>
    <w:p>
      <w:pPr>
        <w:ind w:left="420"/>
      </w:pPr>
      <w:r>
        <w:t xml:space="preserve">4. die interne und externe Schnittstellenfunktion zwischen den betriebswirtschaftlichen und technischen Bereichen durch kommunikative Kompetenzen.</w:t>
      </w:r>
    </w:p>
    <w:p>
      <w:r>
        <w:t xml:space="preserve">(3) Die erfolgreich abgelegte Prüfung führt zum anerkannten Abschluss „Geprüfter Veranstaltungsfachwirt/Geprüfte Veranstaltungsfachwirtin“.</w:t>
      </w:r>
    </w:p>
    <w:p>
      <w:r>
        <w:rPr>
          <w:color w:val="555555"/>
          <w:sz w:val="17"/>
        </w:rPr>
        <w:t xml:space="preserve">Zitiervorschlag: § 1 VeranstFachwPrV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https://recht.nulegal.eu/gesetze/VeranstFachwPrV/1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