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V. VerPBG (Bayern) — Angelegenheiten der Landesplanung</w:t>
      </w:r>
    </w:p>
    <w:p>
      <w:r>
        <w:rPr>
          <w:color w:val="555555"/>
          <w:sz w:val="18"/>
        </w:rPr>
        <w:t xml:space="preserve">Vereinbarung zum Parlamentsbeteiligungsgesetz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1. Das federführende Staatsministerium unterrichtet den Landtag frühzeitig über Vorhaben, die für die Entwicklung des Staatsgebiets oder größerer Teile desselben raumbedeutsam sind.</w:t>
      </w:r>
    </w:p>
    <w:p>
      <w:r>
        <w:t xml:space="preserve">2. Hinsichtlich des Landesentwicklungsprogramms gilt Abschnitt II (Art. 14 Abs. 3 BayLplG).</w:t>
      </w:r>
    </w:p>
    <w:p>
      <w:r>
        <w:rPr>
          <w:color w:val="555555"/>
          <w:sz w:val="17"/>
        </w:rPr>
        <w:t xml:space="preserve">Zitiervorschlag: V. VerPBG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https://recht.nulegal.eu/gesetze/VerPBG/v.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