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I. VerPBG (Bayern) — Vorhaben der Landesgesetzgebung</w:t>
      </w:r>
    </w:p>
    <w:p>
      <w:r>
        <w:rPr>
          <w:color w:val="555555"/>
          <w:sz w:val="18"/>
        </w:rPr>
        <w:t xml:space="preserve">Vereinbarung zum Parlamentsbeteiligungsgesetz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1. Das federführende Staatsministerium unterrichtet den Landtag über Gesetzentwürfe der Staatsregierung, sobald sie den kommunalen Spitzenverbänden, sonstigen Verbänden, Organisationen oder Körperschaften nach Abschluss des Ressortanhörungsverfahrens zur Anhörung zugeleitet werden.</w:t>
      </w:r>
    </w:p>
    <w:p>
      <w:r>
        <w:t xml:space="preserve">2. Der Landtag sichert zu, dass die zur Verfügung gestellten Gesetzentwürfe nicht zum Gegenstand von Initiativen aus der Mitte des Landtags oder von Beratungen im Parlament gemacht werden.</w:t>
      </w:r>
    </w:p>
    <w:p>
      <w:r>
        <w:rPr>
          <w:color w:val="555555"/>
          <w:sz w:val="17"/>
        </w:rPr>
        <w:t xml:space="preserve">Zitiervorschlag: I. VerPBG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https://recht.nulegal.eu/gesetze/VerPBG/i.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