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VerPBG (Bayern)</w:t>
      </w:r>
    </w:p>
    <w:p>
      <w:r>
        <w:rPr>
          <w:color w:val="555555"/>
          <w:sz w:val="18"/>
        </w:rPr>
        <w:t xml:space="preserve">Vereinbarung zum Parlamentsbeteiligungsgesetz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Ausführung von Art. 2 des Gesetzes über die Unterrichtung des Landtags durch die Staatsregierung (Parlamentsinformationsgesetz – PIG) vom 25. Mai 2003 (GVBl S. 324, BayRS 1100-6-S) schließen der Bayerische Landtag – vertreten durch den Präsidenten des Bayerischen Landtags – und die Bayerische Staatsregierung – vertreten durch den Bayerischen Ministerpräsidenten – folgende Vereinbarung über die Unterrichtung des Landtags durch die Staatsregierung:</w:t>
      </w:r>
    </w:p>
    <w:p>
      <w:r>
        <w:rPr>
          <w:color w:val="555555"/>
          <w:sz w:val="17"/>
        </w:rPr>
        <w:t xml:space="preserve">Zitiervorschlag: Eingangsformel VerPBG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