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VbrInsVV</w:t>
      </w:r>
    </w:p>
    <w:p>
      <w:r>
        <w:rPr>
          <w:color w:val="555555"/>
          <w:sz w:val="18"/>
        </w:rPr>
        <w:t xml:space="preserve">Verbraucherinsolvenzformularverordnung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VbrInsVV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https://recht.nulegal.eu/gesetze/VbrInsVV/schlussformel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VbrInsVV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