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VbrInsVV</w:t>
      </w:r>
    </w:p>
    <w:p>
      <w:r>
        <w:rPr>
          <w:color w:val="555555"/>
          <w:sz w:val="18"/>
        </w:rPr>
        <w:t xml:space="preserve">Verbraucherinsolvenzformularverordnung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305 Abs. 5 Satz 1 der Insolvenzordnung vom 5. Oktober 1994 (BGBl. I S. 2866), der durch Artikel 2 Nr. 16 des Gesetzes vom 19. Dezember 1998 (BGBl. I S. 3836) eingefügt worden ist, verordnet das Bundesministerium der Justiz:</w:t>
      </w:r>
    </w:p>
    <w:p>
      <w:r>
        <w:rPr>
          <w:color w:val="555555"/>
          <w:sz w:val="17"/>
        </w:rPr>
        <w:t xml:space="preserve">Zitiervorschlag: Eingangsformel VbrInsVV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https://recht.nulegal.eu/gesetze/VbrInsVV/eingangsformel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