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VbrInsVV</w:t>
      </w:r>
    </w:p>
    <w:p>
      <w:r>
        <w:rPr>
          <w:color w:val="555555"/>
          <w:sz w:val="18"/>
        </w:rPr>
        <w:t xml:space="preserve">Verbraucherinsolvenzformularverordnung</w:t>
      </w:r>
    </w:p>
    <w:p>
      <w:r>
        <w:rPr>
          <w:color w:val="555555"/>
          <w:sz w:val="18"/>
        </w:rPr>
        <w:t xml:space="preserve">Stand: 22.12.2022 (konsolidierte Textfassung, kein amtliches Inkrafttretensdatum)</w:t>
      </w:r>
    </w:p>
    <w:p>
      <w:r>
        <w:t xml:space="preserve">(Fundstelle: BGBl. I 2014, 826 - 870; bzgl. der einzelnen Änderungen vgl. Fußnote)</w:t>
      </w:r>
    </w:p>
    <w:p>
      <w:r>
        <w:t xml:space="preserve">Formulare</w:t>
      </w:r>
    </w:p>
    <w:p>
      <w:r>
        <w:rPr>
          <w:color w:val="555555"/>
          <w:sz w:val="17"/>
        </w:rPr>
        <w:t xml:space="preserve">Zitiervorschlag: Anlage VbrInsVV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https://recht.nulegal.eu/gesetze/VbrInsVV/anlage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