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VbrInsVV — Zulässige Abweichungen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Abweichungen von den in der Anlage bestimmten Formularen und dem Hinweisblatt sind zulässig:</w:t>
      </w:r>
    </w:p>
    <w:p>
      <w:pPr>
        <w:ind w:left="420"/>
      </w:pPr>
      <w:r>
        <w:t xml:space="preserve">1. Berichtigungen, die auf einer Änderung von Rechtsvorschriften beruhen;</w:t>
      </w:r>
    </w:p>
    <w:p>
      <w:pPr>
        <w:ind w:left="420"/>
      </w:pPr>
      <w:r>
        <w:t xml:space="preserve">2. Ergänzungen oder Anpassungen des Hinweisblattes zu den Formularen, soweit solche mit Rücksicht auf die Erfahrungen mit den Formularen geboten sind.</w:t>
      </w:r>
    </w:p>
    <w:p>
      <w:r>
        <w:rPr>
          <w:color w:val="555555"/>
          <w:sz w:val="17"/>
        </w:rPr>
        <w:t xml:space="preserve">Zitiervorschlag: § 2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