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VbrInsVV — Formulare</w:t>
      </w:r>
    </w:p>
    <w:p>
      <w:r>
        <w:rPr>
          <w:color w:val="555555"/>
          <w:sz w:val="18"/>
        </w:rPr>
        <w:t xml:space="preserve">Verbraucherinsolvenzformularverordnung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die im Verbraucherinsolvenzverfahren nach § 305 Abs. 1 der Insolvenzordnung zu stellenden Anträge und für die von den Beteiligten vorzulegenden Bescheinigungen, Verzeichnisse und Pläne werden die folgenden, in der Anlage bestimmten Formulare eingeführt:</w:t>
      </w:r>
    </w:p>
    <w:p>
      <w:pPr>
        <w:ind w:left="420"/>
      </w:pPr>
      <w:r>
        <w:t xml:space="preserve">1. Antrag auf Eröffnung des Insolvenzverfahrens nach § 305 der Insolvenzordnung mit Antrag auf Erteilung der Restschuldbefreiung nach § 287 Abs. 1 der Insolvenzordnung,</w:t>
      </w:r>
    </w:p>
    <w:p>
      <w:pPr>
        <w:ind w:left="420"/>
      </w:pPr>
      <w:r>
        <w:t xml:space="preserve">2. Anlagen zum Antrag auf Eröffnung des Insolvenzverfahrens:</w:t>
      </w:r>
    </w:p>
    <w:p>
      <w:pPr>
        <w:ind w:left="780"/>
      </w:pPr>
      <w:r>
        <w:t xml:space="preserve">a) Personalbogen mit Angaben zur Person des Schuldners,</w:t>
      </w:r>
    </w:p>
    <w:p>
      <w:pPr>
        <w:ind w:left="780"/>
      </w:pPr>
      <w:r>
        <w:t xml:space="preserve">b) Bescheinigung über das Scheitern des außergerichtlichen Einigungsversuchs nach § 305 Abs. 1 Nr. 1 der Insolvenzordnung,</w:t>
      </w:r>
    </w:p>
    <w:p>
      <w:pPr>
        <w:ind w:left="780"/>
      </w:pPr>
      <w:r>
        <w:t xml:space="preserve">c) Abtretungserklärung nach § 287 Abs. 2 der Insolvenzordnung,</w:t>
      </w:r>
    </w:p>
    <w:p>
      <w:pPr>
        <w:ind w:left="780"/>
      </w:pPr>
      <w:r>
        <w:t xml:space="preserve">d) Zusammenfassung des wesentlichen Inhalts des Vermögensverzeichnisses nach § 305 Abs. 1 Nr. 3 der Insolvenzordnung (Vermögensübersicht),</w:t>
      </w:r>
    </w:p>
    <w:p>
      <w:pPr>
        <w:ind w:left="780"/>
      </w:pPr>
      <w:r>
        <w:t xml:space="preserve">e) Verzeichnis des vorhandenen Vermögens und des Einkommens nach § 305 Abs. 1 Nr. 3 der Insolvenzordnung mit Ergänzungsblättern (Vermögensverzeichnis),</w:t>
      </w:r>
    </w:p>
    <w:p>
      <w:pPr>
        <w:ind w:left="780"/>
      </w:pPr>
      <w:r>
        <w:t xml:space="preserve">f) Verzeichnis der Gläubiger und Verzeichnis der gegen den Schuldner gerichteten Forderungen nach § 305 Abs. 1 Nr. 3 der Insolvenzordnung (Gläubiger- und Forderungsverzeichnis),</w:t>
      </w:r>
    </w:p>
    <w:p>
      <w:pPr>
        <w:ind w:left="780"/>
      </w:pPr>
      <w:r>
        <w:t xml:space="preserve">g) Schuldenbereinigungsplan nach § 305 Abs. 1 Nr. 4 der Insolvenzordnung.</w:t>
      </w:r>
    </w:p>
    <w:p>
      <w:r>
        <w:t xml:space="preserve">(2) Den Formularen ist ein Hinweisblatt beizufügen, das deren wesentlichen Inhalt kurz erläutert.</w:t>
      </w:r>
    </w:p>
    <w:p>
      <w:r>
        <w:rPr>
          <w:color w:val="555555"/>
          <w:sz w:val="17"/>
        </w:rPr>
        <w:t xml:space="preserve">Zitiervorschlag: § 1 VbrInsVV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https://recht.nulegal.eu/gesetze/VbrInsVV/1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