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VaV (Brandenburg) — Berechnung</w:t>
      </w:r>
    </w:p>
    <w:p>
      <w:r>
        <w:rPr>
          <w:color w:val="555555"/>
          <w:sz w:val="18"/>
        </w:rPr>
        <w:t xml:space="preserve">Verdienstausfallverordnung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Verdienstausfall wird nach Stunden der tatsächlich versäumten</w:t>
      </w:r>
    </w:p>
    <w:p>
      <w:r>
        <w:t xml:space="preserve">Arbeitszeit berechnet. Arbeitszeit ist die regelmäßige Arbeitszeit. Diese ist</w:t>
      </w:r>
    </w:p>
    <w:p>
      <w:r>
        <w:t xml:space="preserve">individuell zu ermitteln.</w:t>
      </w:r>
    </w:p>
    <w:p>
      <w:r>
        <w:t xml:space="preserve">(2) Eine Zahlung wegen Verdienstausfalls entfällt, wenn keine finanziellen</w:t>
      </w:r>
    </w:p>
    <w:p>
      <w:r>
        <w:t xml:space="preserve">Nachteile entstanden sind. Entgangener Verdienst aus Nebentätigkeiten und</w:t>
      </w:r>
    </w:p>
    <w:p>
      <w:r>
        <w:t xml:space="preserve">Verdienst, der außerhalb der regelmäßigen Arbeitszeit hätte erzielt werden</w:t>
      </w:r>
    </w:p>
    <w:p>
      <w:r>
        <w:t xml:space="preserve">können, bleiben außer Betracht. Kosten für eine Ersatzkraft werden nicht</w:t>
      </w:r>
    </w:p>
    <w:p>
      <w:r>
        <w:t xml:space="preserve">erstattet. Entgangener Gewinn wird nicht ersetzt.</w:t>
      </w:r>
    </w:p>
    <w:p>
      <w:r>
        <w:rPr>
          <w:color w:val="555555"/>
          <w:sz w:val="17"/>
        </w:rPr>
        <w:t xml:space="preserve">Zitiervorschlag: § 3 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